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80A" w:rsidRDefault="00C5480A" w:rsidP="00C5480A">
      <w:pPr>
        <w:pStyle w:val="1"/>
        <w:ind w:right="-5"/>
        <w:jc w:val="right"/>
        <w:rPr>
          <w:sz w:val="28"/>
          <w:szCs w:val="28"/>
        </w:rPr>
      </w:pPr>
      <w:r>
        <w:rPr>
          <w:sz w:val="28"/>
          <w:szCs w:val="28"/>
        </w:rPr>
        <w:t>Приложение к письму</w:t>
      </w:r>
    </w:p>
    <w:p w:rsidR="00C5480A" w:rsidRDefault="00C5480A" w:rsidP="00C5480A">
      <w:pPr>
        <w:pStyle w:val="1"/>
        <w:ind w:right="-5"/>
        <w:jc w:val="right"/>
        <w:rPr>
          <w:sz w:val="28"/>
          <w:szCs w:val="28"/>
        </w:rPr>
      </w:pPr>
      <w:r>
        <w:rPr>
          <w:sz w:val="28"/>
          <w:szCs w:val="28"/>
        </w:rPr>
        <w:t>от « ___»_________ №____</w:t>
      </w:r>
    </w:p>
    <w:p w:rsidR="00C5480A" w:rsidRDefault="00C5480A" w:rsidP="00C5480A">
      <w:pPr>
        <w:tabs>
          <w:tab w:val="left" w:pos="1134"/>
        </w:tabs>
        <w:overflowPunct w:val="0"/>
        <w:autoSpaceDE w:val="0"/>
        <w:autoSpaceDN w:val="0"/>
        <w:adjustRightInd w:val="0"/>
        <w:jc w:val="right"/>
        <w:textAlignment w:val="baseline"/>
        <w:rPr>
          <w:sz w:val="28"/>
          <w:szCs w:val="28"/>
        </w:rPr>
      </w:pPr>
    </w:p>
    <w:p w:rsidR="00C5480A" w:rsidRDefault="00C5480A" w:rsidP="00C5480A">
      <w:pPr>
        <w:spacing w:after="160" w:line="256" w:lineRule="auto"/>
        <w:jc w:val="center"/>
        <w:rPr>
          <w:b/>
          <w:sz w:val="28"/>
          <w:szCs w:val="28"/>
        </w:rPr>
      </w:pPr>
      <w:r>
        <w:rPr>
          <w:b/>
          <w:sz w:val="28"/>
          <w:szCs w:val="28"/>
        </w:rPr>
        <w:t>Информация об исполнении решени</w:t>
      </w:r>
      <w:r w:rsidR="00AF00E7">
        <w:rPr>
          <w:b/>
          <w:sz w:val="28"/>
          <w:szCs w:val="28"/>
        </w:rPr>
        <w:t>я</w:t>
      </w:r>
      <w:r>
        <w:rPr>
          <w:b/>
          <w:sz w:val="28"/>
          <w:szCs w:val="28"/>
        </w:rPr>
        <w:t xml:space="preserve"> двадцать </w:t>
      </w:r>
      <w:r w:rsidR="006534D7">
        <w:rPr>
          <w:b/>
          <w:sz w:val="28"/>
          <w:szCs w:val="28"/>
        </w:rPr>
        <w:t>четвертого</w:t>
      </w:r>
      <w:r>
        <w:rPr>
          <w:b/>
          <w:sz w:val="28"/>
          <w:szCs w:val="28"/>
        </w:rPr>
        <w:t xml:space="preserve"> заседания Координационного совета</w:t>
      </w:r>
    </w:p>
    <w:p w:rsidR="000A1467" w:rsidRDefault="000A1467" w:rsidP="000A1467">
      <w:pPr>
        <w:shd w:val="clear" w:color="auto" w:fill="FFFFFF"/>
        <w:tabs>
          <w:tab w:val="left" w:pos="7088"/>
        </w:tabs>
        <w:ind w:right="5"/>
        <w:jc w:val="center"/>
        <w:rPr>
          <w:szCs w:val="28"/>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5032"/>
        <w:gridCol w:w="8646"/>
      </w:tblGrid>
      <w:tr w:rsidR="000A1467" w:rsidTr="000A1467">
        <w:tc>
          <w:tcPr>
            <w:tcW w:w="1172" w:type="dxa"/>
            <w:tcBorders>
              <w:top w:val="single" w:sz="4" w:space="0" w:color="000000"/>
              <w:left w:val="single" w:sz="4" w:space="0" w:color="000000"/>
              <w:bottom w:val="single" w:sz="4" w:space="0" w:color="000000"/>
              <w:right w:val="single" w:sz="4" w:space="0" w:color="000000"/>
            </w:tcBorders>
            <w:hideMark/>
          </w:tcPr>
          <w:p w:rsidR="000A1467" w:rsidRDefault="000A1467">
            <w:pPr>
              <w:jc w:val="center"/>
              <w:rPr>
                <w:b/>
              </w:rPr>
            </w:pPr>
            <w:r>
              <w:rPr>
                <w:b/>
              </w:rPr>
              <w:t>№ пункта решения</w:t>
            </w:r>
          </w:p>
        </w:tc>
        <w:tc>
          <w:tcPr>
            <w:tcW w:w="5032" w:type="dxa"/>
            <w:tcBorders>
              <w:top w:val="single" w:sz="4" w:space="0" w:color="000000"/>
              <w:left w:val="single" w:sz="4" w:space="0" w:color="000000"/>
              <w:bottom w:val="single" w:sz="4" w:space="0" w:color="000000"/>
              <w:right w:val="single" w:sz="4" w:space="0" w:color="000000"/>
            </w:tcBorders>
          </w:tcPr>
          <w:p w:rsidR="000A1467" w:rsidRDefault="000A1467">
            <w:pPr>
              <w:jc w:val="center"/>
              <w:rPr>
                <w:b/>
              </w:rPr>
            </w:pPr>
            <w:r>
              <w:rPr>
                <w:b/>
              </w:rPr>
              <w:t xml:space="preserve">Содержание решения </w:t>
            </w:r>
          </w:p>
          <w:p w:rsidR="000A1467" w:rsidRDefault="000A1467">
            <w:pPr>
              <w:jc w:val="center"/>
              <w:rPr>
                <w:b/>
              </w:rPr>
            </w:pPr>
            <w:r>
              <w:rPr>
                <w:b/>
              </w:rPr>
              <w:t>Координационного совета</w:t>
            </w:r>
          </w:p>
          <w:p w:rsidR="000A1467" w:rsidRDefault="000A1467">
            <w:pPr>
              <w:jc w:val="center"/>
              <w:rPr>
                <w:b/>
              </w:rPr>
            </w:pPr>
          </w:p>
        </w:tc>
        <w:tc>
          <w:tcPr>
            <w:tcW w:w="8646" w:type="dxa"/>
            <w:tcBorders>
              <w:top w:val="single" w:sz="4" w:space="0" w:color="000000"/>
              <w:left w:val="single" w:sz="4" w:space="0" w:color="000000"/>
              <w:bottom w:val="single" w:sz="4" w:space="0" w:color="000000"/>
              <w:right w:val="single" w:sz="4" w:space="0" w:color="000000"/>
            </w:tcBorders>
            <w:hideMark/>
          </w:tcPr>
          <w:p w:rsidR="000A1467" w:rsidRDefault="000A1467">
            <w:pPr>
              <w:jc w:val="center"/>
              <w:rPr>
                <w:b/>
              </w:rPr>
            </w:pPr>
            <w:r>
              <w:rPr>
                <w:b/>
              </w:rPr>
              <w:t xml:space="preserve">Информация об исполнении </w:t>
            </w:r>
          </w:p>
          <w:p w:rsidR="000A1467" w:rsidRDefault="000A1467">
            <w:pPr>
              <w:jc w:val="center"/>
              <w:rPr>
                <w:b/>
              </w:rPr>
            </w:pPr>
            <w:r>
              <w:rPr>
                <w:b/>
              </w:rPr>
              <w:t>решения Координационного совета</w:t>
            </w:r>
          </w:p>
        </w:tc>
      </w:tr>
      <w:tr w:rsidR="000A1467" w:rsidTr="000A1467">
        <w:tc>
          <w:tcPr>
            <w:tcW w:w="14850" w:type="dxa"/>
            <w:gridSpan w:val="3"/>
            <w:tcBorders>
              <w:top w:val="single" w:sz="4" w:space="0" w:color="000000"/>
              <w:left w:val="single" w:sz="4" w:space="0" w:color="000000"/>
              <w:bottom w:val="single" w:sz="4" w:space="0" w:color="000000"/>
              <w:right w:val="single" w:sz="4" w:space="0" w:color="000000"/>
            </w:tcBorders>
            <w:hideMark/>
          </w:tcPr>
          <w:p w:rsidR="000A1467" w:rsidRDefault="000A1467">
            <w:pPr>
              <w:jc w:val="center"/>
            </w:pPr>
            <w:r>
              <w:t>Рекомендовать органам местного самоуправления муниципальных образований Ханты-Мансийского автономного округа - Югры:</w:t>
            </w:r>
          </w:p>
        </w:tc>
      </w:tr>
      <w:tr w:rsidR="000A1467" w:rsidTr="000A1467">
        <w:tc>
          <w:tcPr>
            <w:tcW w:w="1172" w:type="dxa"/>
            <w:vMerge w:val="restart"/>
            <w:tcBorders>
              <w:top w:val="single" w:sz="4" w:space="0" w:color="000000"/>
              <w:left w:val="single" w:sz="4" w:space="0" w:color="000000"/>
              <w:bottom w:val="single" w:sz="4" w:space="0" w:color="000000"/>
              <w:right w:val="single" w:sz="4" w:space="0" w:color="000000"/>
            </w:tcBorders>
            <w:hideMark/>
          </w:tcPr>
          <w:p w:rsidR="000A1467" w:rsidRDefault="000A1467">
            <w:pPr>
              <w:jc w:val="center"/>
            </w:pPr>
            <w:r>
              <w:t>1.</w:t>
            </w:r>
          </w:p>
        </w:tc>
        <w:tc>
          <w:tcPr>
            <w:tcW w:w="5032" w:type="dxa"/>
            <w:tcBorders>
              <w:top w:val="single" w:sz="4" w:space="0" w:color="000000"/>
              <w:left w:val="single" w:sz="4" w:space="0" w:color="000000"/>
              <w:bottom w:val="single" w:sz="4" w:space="0" w:color="000000"/>
              <w:right w:val="single" w:sz="4" w:space="0" w:color="000000"/>
            </w:tcBorders>
            <w:hideMark/>
          </w:tcPr>
          <w:p w:rsidR="000A1467" w:rsidRDefault="000A1467">
            <w:pPr>
              <w:widowControl w:val="0"/>
              <w:autoSpaceDE w:val="0"/>
              <w:autoSpaceDN w:val="0"/>
              <w:adjustRightInd w:val="0"/>
              <w:jc w:val="both"/>
            </w:pPr>
            <w:r>
              <w:t>1) в срок до 1 февраля 2024 года привести уставы муниципальных образований в соответствие с Федеральными законами от 10 июля 2023 года №286-ФЗ «О внесении изменений в отдельные законодательные акты Российской Федерации», от 4 августа 2023 года №449-ФЗ «О внесении изменений в отдельные законодательные акты Российской Федерации», от 2 ноября 2023 года №517-ФЗ «О внесении изменений в Федеральный закон «Об общих принципах организации местного самоуправления в Российской Федерации»</w:t>
            </w:r>
          </w:p>
        </w:tc>
        <w:tc>
          <w:tcPr>
            <w:tcW w:w="8646" w:type="dxa"/>
            <w:tcBorders>
              <w:top w:val="single" w:sz="4" w:space="0" w:color="000000"/>
              <w:left w:val="single" w:sz="4" w:space="0" w:color="000000"/>
              <w:bottom w:val="single" w:sz="4" w:space="0" w:color="000000"/>
              <w:right w:val="single" w:sz="4" w:space="0" w:color="000000"/>
            </w:tcBorders>
          </w:tcPr>
          <w:p w:rsidR="000A1467" w:rsidRDefault="000A1467">
            <w:pPr>
              <w:pStyle w:val="a6"/>
              <w:shd w:val="clear" w:color="auto" w:fill="FFFFFF"/>
              <w:ind w:left="0"/>
              <w:jc w:val="both"/>
            </w:pPr>
            <w:r>
              <w:t>1) решение Думы города Нижневартовска от 24.11.2023 №354 «О внесении изменений в устав города Нижневартовска, принятый решением Думы города             от 20.06.2005 №502» (с изменениями)»;</w:t>
            </w:r>
          </w:p>
          <w:p w:rsidR="000A1467" w:rsidRDefault="000A1467">
            <w:pPr>
              <w:pStyle w:val="a6"/>
              <w:shd w:val="clear" w:color="auto" w:fill="FFFFFF"/>
              <w:ind w:left="0"/>
              <w:jc w:val="both"/>
            </w:pPr>
            <w:r>
              <w:t>решение Думы города Нижневартовска от 29.03.2024 №395 «О внесении изменений в устав города Нижневартовска, принятый решением Думы города              от 20.06.2005 №502»</w:t>
            </w:r>
          </w:p>
          <w:p w:rsidR="000A1467" w:rsidRDefault="000A1467">
            <w:pPr>
              <w:pStyle w:val="a6"/>
              <w:shd w:val="clear" w:color="auto" w:fill="FFFFFF"/>
              <w:ind w:left="0"/>
              <w:jc w:val="both"/>
            </w:pPr>
          </w:p>
        </w:tc>
      </w:tr>
      <w:tr w:rsidR="000A1467" w:rsidTr="000A146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1467" w:rsidRDefault="000A1467"/>
        </w:tc>
        <w:tc>
          <w:tcPr>
            <w:tcW w:w="5032" w:type="dxa"/>
            <w:tcBorders>
              <w:top w:val="single" w:sz="4" w:space="0" w:color="000000"/>
              <w:left w:val="single" w:sz="4" w:space="0" w:color="000000"/>
              <w:bottom w:val="single" w:sz="4" w:space="0" w:color="000000"/>
              <w:right w:val="single" w:sz="4" w:space="0" w:color="000000"/>
            </w:tcBorders>
            <w:hideMark/>
          </w:tcPr>
          <w:p w:rsidR="000A1467" w:rsidRDefault="000A1467">
            <w:pPr>
              <w:widowControl w:val="0"/>
              <w:autoSpaceDE w:val="0"/>
              <w:autoSpaceDN w:val="0"/>
              <w:adjustRightInd w:val="0"/>
              <w:jc w:val="both"/>
            </w:pPr>
            <w:r>
              <w:t>2) на основании Закона Ханты-Мансийского автономного округа - Югры от 28 сентября 2023 года №87-оз «О внесении изменений в отдельные законы Ханты-Мансийского автономного округа - Югры» провести мониторинг муниципальных актов, регламентирующих порядок предоставления земельных участков бесплатно отдельным категориям граждан (участникам специальной военной операции и членам их семей, имеющим право на внеочередное получение земельных участков)</w:t>
            </w:r>
          </w:p>
        </w:tc>
        <w:tc>
          <w:tcPr>
            <w:tcW w:w="8646" w:type="dxa"/>
            <w:tcBorders>
              <w:top w:val="single" w:sz="4" w:space="0" w:color="000000"/>
              <w:left w:val="single" w:sz="4" w:space="0" w:color="000000"/>
              <w:bottom w:val="single" w:sz="4" w:space="0" w:color="000000"/>
              <w:right w:val="single" w:sz="4" w:space="0" w:color="000000"/>
            </w:tcBorders>
            <w:hideMark/>
          </w:tcPr>
          <w:p w:rsidR="000A1467" w:rsidRDefault="000A1467">
            <w:pPr>
              <w:suppressAutoHyphens/>
              <w:jc w:val="both"/>
            </w:pPr>
            <w:r>
              <w:t xml:space="preserve">2) в целях приведения постановления администрации города Нижневартовска               от 14.10.2022 №732 «Об утверждении административного регламента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в соответствии с Законом Ханты-Мансийского автономного округа Югры от 28.09.2023 №87-оз «О внесении изменений в отдельные законы Ханты-Мансийского автономного округа – Югры» принято постановление администрации города Нижневартовска от 26.12.2023 №1157 «О внесении изменений в приложение к постановлению администрации города от 14.10.2022 №732 «Об утверждении административного регламента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w:t>
            </w:r>
            <w:r>
              <w:lastRenderedPageBreak/>
              <w:t>(с изменениями от 14.08.2023 №694)</w:t>
            </w:r>
          </w:p>
        </w:tc>
      </w:tr>
      <w:tr w:rsidR="000A1467" w:rsidTr="000A146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1467" w:rsidRDefault="000A1467"/>
        </w:tc>
        <w:tc>
          <w:tcPr>
            <w:tcW w:w="5032" w:type="dxa"/>
            <w:tcBorders>
              <w:top w:val="single" w:sz="4" w:space="0" w:color="000000"/>
              <w:left w:val="single" w:sz="4" w:space="0" w:color="000000"/>
              <w:bottom w:val="single" w:sz="4" w:space="0" w:color="000000"/>
              <w:right w:val="single" w:sz="4" w:space="0" w:color="000000"/>
            </w:tcBorders>
            <w:hideMark/>
          </w:tcPr>
          <w:p w:rsidR="000A1467" w:rsidRDefault="000A1467">
            <w:pPr>
              <w:widowControl w:val="0"/>
              <w:autoSpaceDE w:val="0"/>
              <w:autoSpaceDN w:val="0"/>
              <w:adjustRightInd w:val="0"/>
              <w:jc w:val="both"/>
            </w:pPr>
            <w:r>
              <w:t>3) с учетом требований постановления Правительства Российской Федерации от 25 октября 2023 года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(вступает в силу с 1 января 2024 года) обеспечить приведение в соответствие с настоящим постановлением муниципальные акты, регламентирующие порядок предоставления субсидий (грантов)</w:t>
            </w:r>
          </w:p>
        </w:tc>
        <w:tc>
          <w:tcPr>
            <w:tcW w:w="8646" w:type="dxa"/>
            <w:tcBorders>
              <w:top w:val="single" w:sz="4" w:space="0" w:color="000000"/>
              <w:left w:val="single" w:sz="4" w:space="0" w:color="000000"/>
              <w:bottom w:val="single" w:sz="4" w:space="0" w:color="000000"/>
              <w:right w:val="single" w:sz="4" w:space="0" w:color="000000"/>
            </w:tcBorders>
            <w:hideMark/>
          </w:tcPr>
          <w:p w:rsidR="000A1467" w:rsidRDefault="000A1467">
            <w:pPr>
              <w:suppressAutoHyphens/>
              <w:jc w:val="both"/>
            </w:pPr>
            <w:r>
              <w:t>3) постановление администрации города Нижневартовска от 15.02.2024 №112                «О Порядке предоставления субсидий некоммерческим организациям                          (за исключением государственных, муниципальных учреждений) на организацию и проведение мероприятий в сфере культуры, физической культуры и спорта»;</w:t>
            </w:r>
          </w:p>
          <w:p w:rsidR="000A1467" w:rsidRDefault="000A1467">
            <w:pPr>
              <w:suppressAutoHyphens/>
              <w:ind w:right="-1"/>
              <w:jc w:val="both"/>
            </w:pPr>
            <w:r>
              <w:t>постановление администрации города Нижневартовска от 24.01.2020 №52                  «О Порядке предоставления субсидий некоммерческим организациям                         (за исключением государственных (муниципальных) учреждений) на организацию и проведение мероприятий в сфере культуры, физической культуры и спорта, молодежной политики туризма» (с изменениями);</w:t>
            </w:r>
          </w:p>
          <w:p w:rsidR="000A1467" w:rsidRDefault="000A1467">
            <w:pPr>
              <w:suppressAutoHyphens/>
              <w:ind w:right="-1"/>
              <w:jc w:val="both"/>
            </w:pPr>
            <w:r>
              <w:t xml:space="preserve">постановление администрации города Нижневартовска от 28.03.2024 №250                «О внесении изменений в постановление администрации города от 26.04.2021 №336 «Об утверждении порядка предоставления субсидий субъектам малого и среднего предпринимательства» (с изменениями от 29.07.2021 №631, 17.08.2021 №686, 30.03.2022 №205, 27.05.2022 №343, 13.07.2022 №477, 13.12.2022 №865, 20.02.2023 №132, 15.11.2023 №978)»; </w:t>
            </w:r>
          </w:p>
          <w:p w:rsidR="000A1467" w:rsidRDefault="000A1467">
            <w:pPr>
              <w:tabs>
                <w:tab w:val="left" w:pos="4678"/>
                <w:tab w:val="left" w:pos="5245"/>
              </w:tabs>
              <w:suppressAutoHyphens/>
              <w:jc w:val="both"/>
            </w:pPr>
            <w:r>
              <w:t>постановление администрации города Нижневартовска от 28.03.2024 №248                 «О внесении изменений в постановление администрации города от 01.06.2017 №834 «Об утверждении Порядка предоставления сельскохозяйственным товаропроизводителям субсидий из бюджета города» (с изменениями от 03.10.2017 №1476, 25.12.2017 №1918, 09.04.2018 №501, 03.08.2018 №1078, 22.05.2019 №381, 03.12.2019 №960, 28.04.2020 №379, 31.05.2021 №435, 31.05.2022 №352, 12.10.2022 №724, 23.06.2023 №503)»;</w:t>
            </w:r>
          </w:p>
          <w:p w:rsidR="000A1467" w:rsidRDefault="000A1467">
            <w:pPr>
              <w:tabs>
                <w:tab w:val="left" w:pos="4678"/>
                <w:tab w:val="left" w:pos="5245"/>
              </w:tabs>
              <w:suppressAutoHyphens/>
              <w:jc w:val="both"/>
            </w:pPr>
            <w:r>
              <w:t xml:space="preserve">постановление администрации города Нижневартовска от 28.05.2024 №416                 «О внесении изменений в постановление администрации города от 28.04.2021 №344 «О предоставлении грантов в форме субсидий субъектам малого и среднего предпринимательства и утверждении порядка их предоставления»                   (с изменениями от 16.07.2021 </w:t>
            </w:r>
            <w:hyperlink r:id="rId6" w:tooltip="https://login.consultant.ru/link/?req=doc&amp;base=RLAW926&amp;n=236332&amp;date=15.01.2024&amp;dst=100005&amp;field=134" w:history="1">
              <w:r>
                <w:rPr>
                  <w:rStyle w:val="a3"/>
                </w:rPr>
                <w:t>№586</w:t>
              </w:r>
            </w:hyperlink>
            <w:r>
              <w:t xml:space="preserve">, 15.04.2022 </w:t>
            </w:r>
            <w:hyperlink r:id="rId7" w:tooltip="https://login.consultant.ru/link/?req=doc&amp;base=RLAW926&amp;n=253576&amp;date=15.01.2024&amp;dst=100005&amp;field=134" w:history="1">
              <w:r>
                <w:rPr>
                  <w:rStyle w:val="a3"/>
                </w:rPr>
                <w:t>№241</w:t>
              </w:r>
            </w:hyperlink>
            <w:r>
              <w:t>, 20.12.2022 №</w:t>
            </w:r>
            <w:hyperlink r:id="rId8" w:tooltip="https://login.consultant.ru/link/?req=doc&amp;base=RLAW926&amp;n=269845&amp;date=15.01.2024&amp;dst=100005&amp;field=134" w:history="1">
              <w:r>
                <w:rPr>
                  <w:rStyle w:val="a3"/>
                </w:rPr>
                <w:t>900</w:t>
              </w:r>
            </w:hyperlink>
            <w:r>
              <w:t>, 29.03.2023 №</w:t>
            </w:r>
            <w:hyperlink r:id="rId9" w:tooltip="https://login.consultant.ru/link/?req=doc&amp;base=RLAW926&amp;n=276538&amp;date=15.01.2024&amp;dst=100005&amp;field=134" w:history="1">
              <w:r>
                <w:rPr>
                  <w:rStyle w:val="a3"/>
                </w:rPr>
                <w:t>253</w:t>
              </w:r>
            </w:hyperlink>
            <w:r>
              <w:t xml:space="preserve">). </w:t>
            </w:r>
          </w:p>
          <w:p w:rsidR="000A1467" w:rsidRDefault="000A1467">
            <w:pPr>
              <w:suppressAutoHyphens/>
              <w:jc w:val="both"/>
            </w:pPr>
            <w:r>
              <w:t>Проект постановления администрации города «Об утверждении порядка предоставления субсидий на поддержку растениеводства, животноводства и рыбохозяйственного комплекса» подготовлен и проходит процедуру согласования (ориентировочный срок издания - 01.06.2024)</w:t>
            </w:r>
          </w:p>
        </w:tc>
      </w:tr>
      <w:tr w:rsidR="000A1467" w:rsidTr="000A1467">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A1467" w:rsidRDefault="000A1467"/>
        </w:tc>
        <w:tc>
          <w:tcPr>
            <w:tcW w:w="5032" w:type="dxa"/>
            <w:tcBorders>
              <w:top w:val="single" w:sz="4" w:space="0" w:color="000000"/>
              <w:left w:val="single" w:sz="4" w:space="0" w:color="000000"/>
              <w:bottom w:val="single" w:sz="4" w:space="0" w:color="000000"/>
              <w:right w:val="single" w:sz="4" w:space="0" w:color="000000"/>
            </w:tcBorders>
            <w:hideMark/>
          </w:tcPr>
          <w:p w:rsidR="000A1467" w:rsidRDefault="000A1467">
            <w:pPr>
              <w:widowControl w:val="0"/>
              <w:autoSpaceDE w:val="0"/>
              <w:autoSpaceDN w:val="0"/>
              <w:adjustRightInd w:val="0"/>
              <w:jc w:val="both"/>
            </w:pPr>
            <w:r>
              <w:t xml:space="preserve">4) согласно Федеральному закону от 12 декабря 2023 года №565-ФЗ «О занятости </w:t>
            </w:r>
            <w:r>
              <w:lastRenderedPageBreak/>
              <w:t>населения в Российской Федерации» организовать работу по принятию и корректировке муниципальных актов в сфере занятости населения</w:t>
            </w:r>
          </w:p>
        </w:tc>
        <w:tc>
          <w:tcPr>
            <w:tcW w:w="8646" w:type="dxa"/>
            <w:tcBorders>
              <w:top w:val="single" w:sz="4" w:space="0" w:color="000000"/>
              <w:left w:val="single" w:sz="4" w:space="0" w:color="000000"/>
              <w:bottom w:val="single" w:sz="4" w:space="0" w:color="000000"/>
              <w:right w:val="single" w:sz="4" w:space="0" w:color="000000"/>
            </w:tcBorders>
            <w:hideMark/>
          </w:tcPr>
          <w:p w:rsidR="000A1467" w:rsidRDefault="000A1467">
            <w:pPr>
              <w:suppressAutoHyphens/>
              <w:ind w:right="-1"/>
              <w:jc w:val="both"/>
            </w:pPr>
            <w:r>
              <w:lastRenderedPageBreak/>
              <w:t xml:space="preserve">4) реализация основных направлений государственной политики в сфере занятости населения в Российской Федерации согласно норм Федерального </w:t>
            </w:r>
            <w:r>
              <w:lastRenderedPageBreak/>
              <w:t>закона от 12.12.2023 №565-ФЗ «О занятости населения в Российской Федерации» (далее – Федеральный закон №565-ФЗ) относится к полномочиям органов государственной власти Российской Федерации и субъектов Российской Федерации, органов публичной власти федеральных территорий, финансирование основных и дополнительных мер государственной поддержки в сфере занятости населения является расходным обязательством соответствующего указанного органа власти.</w:t>
            </w:r>
          </w:p>
          <w:p w:rsidR="000A1467" w:rsidRDefault="000A1467">
            <w:pPr>
              <w:suppressAutoHyphens/>
              <w:ind w:right="-1"/>
              <w:jc w:val="both"/>
            </w:pPr>
            <w:r>
              <w:t>Органы местного самоуправления участвуют в содействии занятости населения в рамках прав, предусмотренных статьей 11 Федерального закона №565-ФЗ.</w:t>
            </w:r>
          </w:p>
          <w:p w:rsidR="000A1467" w:rsidRDefault="000A1467">
            <w:pPr>
              <w:suppressAutoHyphens/>
              <w:ind w:right="-1"/>
              <w:jc w:val="both"/>
            </w:pPr>
            <w:r>
              <w:t>В соответствии с пунктом 1 статьи 86 Бюджетного кодекса Российской Федерации (далее – БК РФ) расходные обязательства муниципального образования возникают, в том числе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w:t>
            </w:r>
          </w:p>
          <w:p w:rsidR="000A1467" w:rsidRDefault="000A1467">
            <w:pPr>
              <w:pStyle w:val="aa"/>
              <w:suppressAutoHyphens/>
              <w:spacing w:before="0" w:beforeAutospacing="0" w:after="0" w:afterAutospacing="0" w:line="288" w:lineRule="atLeast"/>
              <w:ind w:right="-1"/>
              <w:jc w:val="both"/>
            </w:pPr>
            <w:r>
              <w:t xml:space="preserve">В силу норм статьи 136 БК РФ муниципальные образования,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10" w:history="1">
              <w:r>
                <w:rPr>
                  <w:rStyle w:val="a3"/>
                </w:rPr>
                <w:t>Конституцией</w:t>
              </w:r>
            </w:hyperlink>
            <w:r>
              <w:t xml:space="preserve"> Российской Федерации, федеральными законами, законами субъектов Российской Федерации к полномочиям соответствующих органов </w:t>
            </w:r>
            <w:r>
              <w:lastRenderedPageBreak/>
              <w:t>местного самоуправления.</w:t>
            </w:r>
          </w:p>
          <w:p w:rsidR="000A1467" w:rsidRDefault="000A1467">
            <w:pPr>
              <w:pStyle w:val="aa"/>
              <w:suppressAutoHyphens/>
              <w:spacing w:before="0" w:beforeAutospacing="0" w:after="0" w:afterAutospacing="0" w:line="288" w:lineRule="atLeast"/>
              <w:ind w:right="-1"/>
              <w:jc w:val="both"/>
            </w:pPr>
            <w:r>
              <w:t>Согласно приказу Департамента финансов Ханты-Мансийского автономного округа – Югры от 09.10.2023 №20-ОД-131 «Об утверждении перечней муниципальных образований Ханты-Мансийского автономного округа – Югры в соответствии с положениями пункта 5 статьи 136 Бюджетного кодекса Российской Федерации на 2024 год» город Нижневартовск отнесен к перечню муниципальных образований, в бюджетах которых доля дотаций из других бюджетов бюджетной системы Российской Федерации (без учета дотаций местным бюджетам, предоставленных в целях содействия достижению и (или) поощрения достижения наилучших значений показателей, в том числе показателей социально-экономического развития муниципальных образований, и (или) поощрения за лучшие практики деятельности органов местного самоуправления)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(2020 - 2022 годы) превышала 20 процентов доходов местного бюджета, за исключением субвенций и иных межбюджетных трансфертов, предоставляемых на осуществление части полномочий по решению вопросов местного значения в соответствии с соглашениями, заключенными муниципальным районом и поселениями.</w:t>
            </w:r>
          </w:p>
          <w:p w:rsidR="000A1467" w:rsidRDefault="000A1467">
            <w:pPr>
              <w:suppressAutoHyphens/>
              <w:ind w:right="-1"/>
              <w:jc w:val="both"/>
            </w:pPr>
            <w:r>
              <w:t xml:space="preserve">В связи с этим, город Нижневартовск, начиная с 2024 года не имеет права устанавливать и исполнять расходные обязательства, не связанные с решением вопросов, отнесенных Конституцией Российской Федерации, федеральными законами, законами субъектов Российской Федерации к полномочиям органов местного самоуправления. </w:t>
            </w:r>
          </w:p>
          <w:p w:rsidR="000A1467" w:rsidRDefault="000A1467">
            <w:pPr>
              <w:suppressAutoHyphens/>
              <w:ind w:right="-1"/>
              <w:jc w:val="both"/>
            </w:pPr>
            <w:r>
              <w:t xml:space="preserve">Учитывая вышеуказанные нормы, в настоящее время отсутствуют правовые основания для принятия муниципальных правовых актов, регулирующих вопросы в сфере занятости населения, в том числе в части предоставления дополнительных мер поддержки в сфере занятости населения и повышения мобильности трудовых ресурсов. </w:t>
            </w:r>
          </w:p>
          <w:p w:rsidR="000A1467" w:rsidRDefault="000A1467">
            <w:pPr>
              <w:suppressAutoHyphens/>
              <w:ind w:right="-1"/>
              <w:jc w:val="both"/>
            </w:pPr>
            <w:r>
              <w:t xml:space="preserve">В части утверждения порядков формирования и использования бюджетных ассигнований муниципального дорожного фонда во исполнение Федерального закона от 04.08.2023 №416-ФЗ «О внесении изменений в Бюджетный кодекс </w:t>
            </w:r>
            <w:r>
              <w:lastRenderedPageBreak/>
              <w:t>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 сообщаем следующее.</w:t>
            </w:r>
          </w:p>
          <w:p w:rsidR="000A1467" w:rsidRDefault="000A1467">
            <w:pPr>
              <w:pStyle w:val="a6"/>
              <w:shd w:val="clear" w:color="auto" w:fill="FFFFFF"/>
              <w:suppressAutoHyphens/>
              <w:ind w:left="0" w:right="-1"/>
              <w:jc w:val="both"/>
            </w:pPr>
            <w:r>
              <w:t>Решением Думы города Нижневартовска от 27.10.2023 №335 «О внесении изменений в решение Думы города Нижневартовска от 14.09.2012 №271                     «О муниципальном дорожном фонде городского округа город Нижневартовск»     (с изменениями)» источники формирования дорожного фонда приведены в соответствии с действующими нормами пункта 5 статьи 179.4 БК РФ.</w:t>
            </w:r>
          </w:p>
        </w:tc>
      </w:tr>
      <w:tr w:rsidR="000A1467" w:rsidTr="000A1467">
        <w:tc>
          <w:tcPr>
            <w:tcW w:w="0" w:type="auto"/>
            <w:tcBorders>
              <w:top w:val="single" w:sz="4" w:space="0" w:color="000000"/>
              <w:left w:val="single" w:sz="4" w:space="0" w:color="000000"/>
              <w:bottom w:val="single" w:sz="4" w:space="0" w:color="000000"/>
              <w:right w:val="single" w:sz="4" w:space="0" w:color="000000"/>
            </w:tcBorders>
            <w:vAlign w:val="center"/>
          </w:tcPr>
          <w:p w:rsidR="000A1467" w:rsidRDefault="00E008F4">
            <w:r>
              <w:lastRenderedPageBreak/>
              <w:t>2</w:t>
            </w:r>
          </w:p>
        </w:tc>
        <w:tc>
          <w:tcPr>
            <w:tcW w:w="5032" w:type="dxa"/>
            <w:tcBorders>
              <w:top w:val="single" w:sz="4" w:space="0" w:color="000000"/>
              <w:left w:val="single" w:sz="4" w:space="0" w:color="000000"/>
              <w:bottom w:val="single" w:sz="4" w:space="0" w:color="000000"/>
              <w:right w:val="single" w:sz="4" w:space="0" w:color="000000"/>
            </w:tcBorders>
          </w:tcPr>
          <w:p w:rsidR="000A1467" w:rsidRDefault="000A1467" w:rsidP="000A1467">
            <w:pPr>
              <w:widowControl w:val="0"/>
              <w:autoSpaceDE w:val="0"/>
              <w:autoSpaceDN w:val="0"/>
              <w:adjustRightInd w:val="0"/>
              <w:jc w:val="both"/>
              <w:rPr>
                <w:rFonts w:eastAsia="Calibri"/>
              </w:rPr>
            </w:pPr>
            <w:r>
              <w:rPr>
                <w:lang w:eastAsia="en-US"/>
              </w:rPr>
              <w:t>Рассмотреть возможность изучения и применения опыта работы Контрольно-счетной палаты города Сургута по проведению открытых заседаний коллегии контрольно-счетного органа.</w:t>
            </w:r>
          </w:p>
          <w:p w:rsidR="000A1467" w:rsidRDefault="000A1467" w:rsidP="000A1467">
            <w:pPr>
              <w:widowControl w:val="0"/>
              <w:autoSpaceDE w:val="0"/>
              <w:autoSpaceDN w:val="0"/>
              <w:adjustRightInd w:val="0"/>
              <w:jc w:val="both"/>
              <w:rPr>
                <w:rFonts w:eastAsia="Calibri"/>
              </w:rPr>
            </w:pPr>
          </w:p>
          <w:p w:rsidR="000A1467" w:rsidRDefault="000A1467" w:rsidP="000A1467">
            <w:pPr>
              <w:widowControl w:val="0"/>
              <w:autoSpaceDE w:val="0"/>
              <w:autoSpaceDN w:val="0"/>
              <w:adjustRightInd w:val="0"/>
              <w:jc w:val="both"/>
              <w:rPr>
                <w:rFonts w:eastAsia="Calibri"/>
              </w:rPr>
            </w:pPr>
          </w:p>
          <w:p w:rsidR="000A1467" w:rsidRDefault="000A1467">
            <w:pPr>
              <w:widowControl w:val="0"/>
              <w:autoSpaceDE w:val="0"/>
              <w:autoSpaceDN w:val="0"/>
              <w:adjustRightInd w:val="0"/>
              <w:jc w:val="both"/>
            </w:pPr>
            <w:bookmarkStart w:id="0" w:name="_GoBack"/>
            <w:bookmarkEnd w:id="0"/>
          </w:p>
        </w:tc>
        <w:tc>
          <w:tcPr>
            <w:tcW w:w="8646" w:type="dxa"/>
            <w:tcBorders>
              <w:top w:val="single" w:sz="4" w:space="0" w:color="000000"/>
              <w:left w:val="single" w:sz="4" w:space="0" w:color="000000"/>
              <w:bottom w:val="single" w:sz="4" w:space="0" w:color="000000"/>
              <w:right w:val="single" w:sz="4" w:space="0" w:color="000000"/>
            </w:tcBorders>
          </w:tcPr>
          <w:p w:rsidR="000A1467" w:rsidRPr="003C331D" w:rsidRDefault="000A1467" w:rsidP="000A1467">
            <w:pPr>
              <w:tabs>
                <w:tab w:val="left" w:pos="993"/>
              </w:tabs>
              <w:contextualSpacing/>
              <w:jc w:val="both"/>
              <w:rPr>
                <w:rFonts w:eastAsiaTheme="minorHAnsi"/>
                <w:bCs/>
                <w:lang w:eastAsia="en-US"/>
              </w:rPr>
            </w:pPr>
            <w:r>
              <w:rPr>
                <w:rFonts w:eastAsiaTheme="minorHAnsi"/>
                <w:bCs/>
                <w:lang w:eastAsia="en-US"/>
              </w:rPr>
              <w:t xml:space="preserve">          </w:t>
            </w:r>
            <w:r w:rsidRPr="003C331D">
              <w:rPr>
                <w:rFonts w:eastAsiaTheme="minorHAnsi"/>
                <w:bCs/>
                <w:lang w:eastAsia="en-US"/>
              </w:rPr>
              <w:t xml:space="preserve">Практику проведения открытых заседаний Коллегии Счетная палата города Нижневартовска осуществляет с 2017 года, в целях </w:t>
            </w:r>
            <w:r w:rsidRPr="003C331D">
              <w:rPr>
                <w:rFonts w:eastAsia="Calibri"/>
              </w:rPr>
              <w:t>повышения результативности и открытости своей работы,</w:t>
            </w:r>
            <w:r w:rsidRPr="003C331D">
              <w:rPr>
                <w:rFonts w:eastAsiaTheme="minorHAnsi"/>
                <w:bCs/>
                <w:lang w:eastAsia="en-US"/>
              </w:rPr>
              <w:t xml:space="preserve"> </w:t>
            </w:r>
            <w:r w:rsidRPr="00E804F6">
              <w:rPr>
                <w:rFonts w:eastAsiaTheme="minorHAnsi"/>
                <w:bCs/>
                <w:lang w:eastAsia="en-US"/>
              </w:rPr>
              <w:t>принятия неотложных, превентивных мер, направленных на укрепление финансовый дисциплины и защиту муниципальной собственности</w:t>
            </w:r>
            <w:r>
              <w:rPr>
                <w:rFonts w:eastAsiaTheme="minorHAnsi"/>
                <w:bCs/>
                <w:lang w:eastAsia="en-US"/>
              </w:rPr>
              <w:t>.</w:t>
            </w:r>
          </w:p>
          <w:p w:rsidR="000A1467" w:rsidRPr="00E804F6" w:rsidRDefault="000A1467" w:rsidP="000A1467">
            <w:pPr>
              <w:ind w:firstLine="709"/>
              <w:contextualSpacing/>
              <w:jc w:val="both"/>
              <w:rPr>
                <w:rFonts w:eastAsiaTheme="minorHAnsi"/>
                <w:bCs/>
                <w:lang w:eastAsia="en-US"/>
              </w:rPr>
            </w:pPr>
            <w:r w:rsidRPr="00E804F6">
              <w:rPr>
                <w:rFonts w:eastAsiaTheme="minorHAnsi"/>
                <w:bCs/>
                <w:lang w:eastAsia="en-US"/>
              </w:rPr>
              <w:t xml:space="preserve">На заседаниях Коллегии </w:t>
            </w:r>
            <w:r w:rsidRPr="003C331D">
              <w:rPr>
                <w:rFonts w:eastAsiaTheme="minorHAnsi"/>
                <w:bCs/>
                <w:lang w:eastAsia="en-US"/>
              </w:rPr>
              <w:t xml:space="preserve">в расширенном формате </w:t>
            </w:r>
            <w:r>
              <w:rPr>
                <w:rFonts w:eastAsiaTheme="minorHAnsi"/>
                <w:bCs/>
                <w:lang w:eastAsia="en-US"/>
              </w:rPr>
              <w:t>всегда принимают участие</w:t>
            </w:r>
            <w:r w:rsidRPr="00E804F6">
              <w:rPr>
                <w:rFonts w:eastAsiaTheme="minorHAnsi"/>
                <w:bCs/>
                <w:lang w:eastAsia="en-US"/>
              </w:rPr>
              <w:t xml:space="preserve"> </w:t>
            </w:r>
            <w:r>
              <w:rPr>
                <w:rFonts w:eastAsiaTheme="minorHAnsi"/>
                <w:bCs/>
                <w:lang w:eastAsia="en-US"/>
              </w:rPr>
              <w:t>п</w:t>
            </w:r>
            <w:r w:rsidRPr="00E804F6">
              <w:rPr>
                <w:rFonts w:eastAsiaTheme="minorHAnsi"/>
                <w:bCs/>
                <w:lang w:eastAsia="en-US"/>
              </w:rPr>
              <w:t xml:space="preserve">редседатель </w:t>
            </w:r>
            <w:r w:rsidRPr="003C331D">
              <w:rPr>
                <w:rFonts w:eastAsiaTheme="minorHAnsi"/>
                <w:bCs/>
                <w:lang w:eastAsia="en-US"/>
              </w:rPr>
              <w:t>и</w:t>
            </w:r>
            <w:r w:rsidRPr="00E804F6">
              <w:rPr>
                <w:rFonts w:eastAsiaTheme="minorHAnsi"/>
                <w:bCs/>
                <w:lang w:eastAsia="en-US"/>
              </w:rPr>
              <w:t xml:space="preserve"> заместитель </w:t>
            </w:r>
            <w:r>
              <w:rPr>
                <w:rFonts w:eastAsiaTheme="minorHAnsi"/>
                <w:bCs/>
                <w:lang w:eastAsia="en-US"/>
              </w:rPr>
              <w:t>п</w:t>
            </w:r>
            <w:r w:rsidRPr="00E804F6">
              <w:rPr>
                <w:rFonts w:eastAsiaTheme="minorHAnsi"/>
                <w:bCs/>
                <w:lang w:eastAsia="en-US"/>
              </w:rPr>
              <w:t xml:space="preserve">редседателя Думы города </w:t>
            </w:r>
            <w:r w:rsidRPr="003C331D">
              <w:rPr>
                <w:rFonts w:eastAsiaTheme="minorHAnsi"/>
                <w:bCs/>
                <w:lang w:eastAsia="en-US"/>
              </w:rPr>
              <w:t>Нижневартовска</w:t>
            </w:r>
            <w:r w:rsidRPr="00E804F6">
              <w:rPr>
                <w:rFonts w:eastAsiaTheme="minorHAnsi"/>
                <w:bCs/>
                <w:lang w:eastAsia="en-US"/>
              </w:rPr>
              <w:t xml:space="preserve">, депутаты Думы города </w:t>
            </w:r>
            <w:r w:rsidRPr="003C331D">
              <w:rPr>
                <w:rFonts w:eastAsiaTheme="minorHAnsi"/>
                <w:bCs/>
                <w:lang w:eastAsia="en-US"/>
              </w:rPr>
              <w:t>Нижневартовска</w:t>
            </w:r>
            <w:r w:rsidRPr="00E804F6">
              <w:rPr>
                <w:rFonts w:eastAsiaTheme="minorHAnsi"/>
                <w:bCs/>
                <w:lang w:eastAsia="en-US"/>
              </w:rPr>
              <w:t xml:space="preserve">, заместители </w:t>
            </w:r>
            <w:r>
              <w:rPr>
                <w:rFonts w:eastAsiaTheme="minorHAnsi"/>
                <w:bCs/>
                <w:lang w:eastAsia="en-US"/>
              </w:rPr>
              <w:t>г</w:t>
            </w:r>
            <w:r w:rsidRPr="00E804F6">
              <w:rPr>
                <w:rFonts w:eastAsiaTheme="minorHAnsi"/>
                <w:bCs/>
                <w:lang w:eastAsia="en-US"/>
              </w:rPr>
              <w:t xml:space="preserve">лавы </w:t>
            </w:r>
            <w:r>
              <w:rPr>
                <w:rFonts w:eastAsiaTheme="minorHAnsi"/>
                <w:bCs/>
                <w:lang w:eastAsia="en-US"/>
              </w:rPr>
              <w:t xml:space="preserve">города </w:t>
            </w:r>
            <w:r w:rsidRPr="00E804F6">
              <w:rPr>
                <w:rFonts w:eastAsiaTheme="minorHAnsi"/>
                <w:bCs/>
                <w:lang w:eastAsia="en-US"/>
              </w:rPr>
              <w:t>по профильной тематике</w:t>
            </w:r>
            <w:r>
              <w:rPr>
                <w:rFonts w:eastAsiaTheme="minorHAnsi"/>
                <w:bCs/>
                <w:lang w:eastAsia="en-US"/>
              </w:rPr>
              <w:t>,</w:t>
            </w:r>
            <w:r w:rsidRPr="00E804F6">
              <w:rPr>
                <w:rFonts w:eastAsiaTheme="minorHAnsi"/>
                <w:bCs/>
                <w:lang w:eastAsia="en-US"/>
              </w:rPr>
              <w:t xml:space="preserve"> руководители проверяемых органов, организаций, сотрудники профильных служб </w:t>
            </w:r>
            <w:r>
              <w:rPr>
                <w:rFonts w:eastAsiaTheme="minorHAnsi"/>
                <w:bCs/>
                <w:lang w:eastAsia="en-US"/>
              </w:rPr>
              <w:t>а</w:t>
            </w:r>
            <w:r w:rsidRPr="00E804F6">
              <w:rPr>
                <w:rFonts w:eastAsiaTheme="minorHAnsi"/>
                <w:bCs/>
                <w:lang w:eastAsia="en-US"/>
              </w:rPr>
              <w:t>дминистрации города и аппарата Думы города.</w:t>
            </w:r>
          </w:p>
          <w:p w:rsidR="000A1467" w:rsidRPr="00E804F6" w:rsidRDefault="000A1467" w:rsidP="000A1467">
            <w:pPr>
              <w:ind w:firstLine="709"/>
              <w:contextualSpacing/>
              <w:jc w:val="both"/>
              <w:rPr>
                <w:rFonts w:eastAsiaTheme="minorHAnsi"/>
                <w:lang w:eastAsia="en-US"/>
              </w:rPr>
            </w:pPr>
            <w:r w:rsidRPr="00E804F6">
              <w:rPr>
                <w:rFonts w:eastAsiaTheme="minorHAnsi"/>
                <w:lang w:eastAsia="en-US"/>
              </w:rPr>
              <w:t xml:space="preserve">На заседаниях Коллегии рассматриваются результаты контрольных мероприятий в виде проектов отчетов, а также представляются результаты проведенных особо значимых </w:t>
            </w:r>
            <w:r>
              <w:rPr>
                <w:rFonts w:eastAsiaTheme="minorHAnsi"/>
                <w:lang w:eastAsia="en-US"/>
              </w:rPr>
              <w:t xml:space="preserve"> контрольных и </w:t>
            </w:r>
            <w:r w:rsidRPr="00E804F6">
              <w:rPr>
                <w:rFonts w:eastAsiaTheme="minorHAnsi"/>
                <w:lang w:eastAsia="en-US"/>
              </w:rPr>
              <w:t xml:space="preserve">экспертно-аналитических мероприятий. </w:t>
            </w:r>
          </w:p>
          <w:p w:rsidR="000A1467" w:rsidRPr="00E804F6" w:rsidRDefault="000A1467" w:rsidP="000A1467">
            <w:pPr>
              <w:ind w:firstLine="851"/>
              <w:contextualSpacing/>
              <w:jc w:val="both"/>
              <w:rPr>
                <w:rFonts w:eastAsiaTheme="minorHAnsi"/>
                <w:lang w:eastAsia="en-US"/>
              </w:rPr>
            </w:pPr>
            <w:r w:rsidRPr="00E804F6">
              <w:rPr>
                <w:rFonts w:eastAsiaTheme="minorHAnsi"/>
                <w:lang w:eastAsia="en-US"/>
              </w:rPr>
              <w:t>Заседание Коллегии в таком расширенном формате является площадкой, где имеется возможность обсудить детали и спорные вопросы проведенных мероприятий. Руководитель мероприятия в ходе презентации его результатов имеет возможность изложить свою точку зрения, участвующие - задать вопросы</w:t>
            </w:r>
            <w:r w:rsidRPr="003C331D">
              <w:rPr>
                <w:rFonts w:eastAsiaTheme="minorHAnsi"/>
                <w:lang w:eastAsia="en-US"/>
              </w:rPr>
              <w:t xml:space="preserve"> и</w:t>
            </w:r>
            <w:r w:rsidRPr="00E804F6">
              <w:rPr>
                <w:rFonts w:eastAsiaTheme="minorHAnsi"/>
                <w:lang w:eastAsia="en-US"/>
              </w:rPr>
              <w:t xml:space="preserve"> обсудить мнения по имеющимся вопросам.</w:t>
            </w:r>
          </w:p>
          <w:p w:rsidR="000A1467" w:rsidRPr="00E804F6" w:rsidRDefault="000A1467" w:rsidP="000A1467">
            <w:pPr>
              <w:contextualSpacing/>
              <w:jc w:val="both"/>
              <w:rPr>
                <w:rFonts w:eastAsiaTheme="minorHAnsi"/>
                <w:bCs/>
                <w:lang w:eastAsia="en-US"/>
              </w:rPr>
            </w:pPr>
            <w:r>
              <w:rPr>
                <w:rFonts w:eastAsiaTheme="minorHAnsi"/>
                <w:bCs/>
                <w:lang w:eastAsia="en-US"/>
              </w:rPr>
              <w:t xml:space="preserve">         </w:t>
            </w:r>
            <w:r w:rsidRPr="003C331D">
              <w:rPr>
                <w:rFonts w:eastAsiaTheme="minorHAnsi"/>
                <w:bCs/>
                <w:lang w:eastAsia="en-US"/>
              </w:rPr>
              <w:t xml:space="preserve">Такой формат </w:t>
            </w:r>
            <w:r w:rsidRPr="00E804F6">
              <w:rPr>
                <w:rFonts w:eastAsiaTheme="minorHAnsi"/>
                <w:bCs/>
                <w:lang w:eastAsia="en-US"/>
              </w:rPr>
              <w:t xml:space="preserve">работы коллегиального органа </w:t>
            </w:r>
            <w:r w:rsidRPr="003C331D">
              <w:rPr>
                <w:rFonts w:eastAsiaTheme="minorHAnsi"/>
                <w:bCs/>
                <w:lang w:eastAsia="en-US"/>
              </w:rPr>
              <w:t>С</w:t>
            </w:r>
            <w:r w:rsidRPr="00E804F6">
              <w:rPr>
                <w:rFonts w:eastAsiaTheme="minorHAnsi"/>
                <w:bCs/>
                <w:lang w:eastAsia="en-US"/>
              </w:rPr>
              <w:t xml:space="preserve">четной палаты города </w:t>
            </w:r>
            <w:r w:rsidRPr="003C331D">
              <w:rPr>
                <w:rFonts w:eastAsiaTheme="minorHAnsi"/>
                <w:bCs/>
                <w:lang w:eastAsia="en-US"/>
              </w:rPr>
              <w:t>Нижневартовска</w:t>
            </w:r>
            <w:r w:rsidRPr="00E804F6">
              <w:rPr>
                <w:rFonts w:eastAsiaTheme="minorHAnsi"/>
                <w:bCs/>
                <w:lang w:eastAsia="en-US"/>
              </w:rPr>
              <w:t>, направленн</w:t>
            </w:r>
            <w:r>
              <w:rPr>
                <w:rFonts w:eastAsiaTheme="minorHAnsi"/>
                <w:bCs/>
                <w:lang w:eastAsia="en-US"/>
              </w:rPr>
              <w:t>ый</w:t>
            </w:r>
            <w:r w:rsidRPr="00E804F6">
              <w:rPr>
                <w:rFonts w:eastAsiaTheme="minorHAnsi"/>
                <w:bCs/>
                <w:lang w:eastAsia="en-US"/>
              </w:rPr>
              <w:t xml:space="preserve"> на оперативное решение задач и целей муниципального образования, </w:t>
            </w:r>
            <w:r>
              <w:rPr>
                <w:rFonts w:eastAsiaTheme="minorHAnsi"/>
                <w:bCs/>
                <w:lang w:eastAsia="en-US"/>
              </w:rPr>
              <w:t>способствует</w:t>
            </w:r>
            <w:r w:rsidRPr="00E804F6">
              <w:rPr>
                <w:rFonts w:eastAsiaTheme="minorHAnsi"/>
                <w:bCs/>
                <w:lang w:eastAsia="en-US"/>
              </w:rPr>
              <w:t xml:space="preserve"> повышению уровня авторитета органа внешнего муниципального финансового контроля, а также доверия к муниципальной власти в целом. </w:t>
            </w:r>
          </w:p>
          <w:p w:rsidR="000A1467" w:rsidRDefault="000A1467" w:rsidP="00E008F4">
            <w:pPr>
              <w:spacing w:after="200"/>
              <w:contextualSpacing/>
            </w:pPr>
            <w:r>
              <w:rPr>
                <w:rFonts w:eastAsiaTheme="minorHAnsi"/>
                <w:lang w:eastAsia="en-US"/>
              </w:rPr>
              <w:t xml:space="preserve">        За последние два года  р</w:t>
            </w:r>
            <w:r w:rsidRPr="003C331D">
              <w:rPr>
                <w:rFonts w:eastAsiaTheme="minorHAnsi"/>
                <w:lang w:eastAsia="en-US"/>
              </w:rPr>
              <w:t xml:space="preserve">асширенных заседаний Коллегии Счетной палаты города Нижневартовска  </w:t>
            </w:r>
            <w:r>
              <w:rPr>
                <w:rFonts w:eastAsiaTheme="minorHAnsi"/>
                <w:lang w:eastAsia="en-US"/>
              </w:rPr>
              <w:t xml:space="preserve"> по  количеству </w:t>
            </w:r>
            <w:r w:rsidRPr="003C331D">
              <w:rPr>
                <w:rFonts w:eastAsiaTheme="minorHAnsi"/>
                <w:lang w:eastAsia="en-US"/>
              </w:rPr>
              <w:t>проведено</w:t>
            </w:r>
            <w:r>
              <w:rPr>
                <w:rFonts w:eastAsiaTheme="minorHAnsi"/>
                <w:lang w:eastAsia="en-US"/>
              </w:rPr>
              <w:t xml:space="preserve">  в  2022 году- 4, в 2023 году-3.</w:t>
            </w:r>
          </w:p>
        </w:tc>
      </w:tr>
    </w:tbl>
    <w:p w:rsidR="000A1467" w:rsidRDefault="000A1467" w:rsidP="00C5480A">
      <w:pPr>
        <w:spacing w:after="160" w:line="256" w:lineRule="auto"/>
        <w:jc w:val="center"/>
        <w:rPr>
          <w:b/>
          <w:sz w:val="28"/>
          <w:szCs w:val="28"/>
        </w:rPr>
      </w:pPr>
    </w:p>
    <w:p w:rsidR="00B819A3" w:rsidRDefault="00B819A3"/>
    <w:sectPr w:rsidR="00B819A3" w:rsidSect="00A86D22">
      <w:pgSz w:w="16838" w:h="11906" w:orient="landscape"/>
      <w:pgMar w:top="127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D0A" w:rsidRDefault="00BC5D0A" w:rsidP="00C5480A">
      <w:r>
        <w:separator/>
      </w:r>
    </w:p>
  </w:endnote>
  <w:endnote w:type="continuationSeparator" w:id="0">
    <w:p w:rsidR="00BC5D0A" w:rsidRDefault="00BC5D0A" w:rsidP="00C54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D0A" w:rsidRDefault="00BC5D0A" w:rsidP="00C5480A">
      <w:r>
        <w:separator/>
      </w:r>
    </w:p>
  </w:footnote>
  <w:footnote w:type="continuationSeparator" w:id="0">
    <w:p w:rsidR="00BC5D0A" w:rsidRDefault="00BC5D0A" w:rsidP="00C548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80A"/>
    <w:rsid w:val="000A1467"/>
    <w:rsid w:val="001D24AF"/>
    <w:rsid w:val="00292BBB"/>
    <w:rsid w:val="003A1069"/>
    <w:rsid w:val="003C331D"/>
    <w:rsid w:val="006534D7"/>
    <w:rsid w:val="0078742D"/>
    <w:rsid w:val="00827DC7"/>
    <w:rsid w:val="00A17468"/>
    <w:rsid w:val="00A61130"/>
    <w:rsid w:val="00A86D22"/>
    <w:rsid w:val="00A9717E"/>
    <w:rsid w:val="00AB53E6"/>
    <w:rsid w:val="00AF00E7"/>
    <w:rsid w:val="00B819A3"/>
    <w:rsid w:val="00BC5D0A"/>
    <w:rsid w:val="00C5480A"/>
    <w:rsid w:val="00D5377B"/>
    <w:rsid w:val="00E008F4"/>
    <w:rsid w:val="00E804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9275B"/>
  <w15:docId w15:val="{AA6605AF-53BC-462B-BCF9-7A8C1220C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48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5480A"/>
    <w:rPr>
      <w:strike w:val="0"/>
      <w:dstrike w:val="0"/>
      <w:color w:val="0000FF"/>
      <w:u w:val="none"/>
      <w:effect w:val="none"/>
    </w:rPr>
  </w:style>
  <w:style w:type="paragraph" w:styleId="a4">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
    <w:link w:val="a5"/>
    <w:uiPriority w:val="99"/>
    <w:semiHidden/>
    <w:unhideWhenUsed/>
    <w:rsid w:val="00C5480A"/>
    <w:rPr>
      <w:sz w:val="20"/>
      <w:szCs w:val="20"/>
    </w:rPr>
  </w:style>
  <w:style w:type="character" w:customStyle="1" w:styleId="a5">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0"/>
    <w:link w:val="a4"/>
    <w:uiPriority w:val="99"/>
    <w:semiHidden/>
    <w:rsid w:val="00C5480A"/>
    <w:rPr>
      <w:rFonts w:ascii="Times New Roman" w:eastAsia="Times New Roman" w:hAnsi="Times New Roman" w:cs="Times New Roman"/>
      <w:sz w:val="20"/>
      <w:szCs w:val="20"/>
      <w:lang w:eastAsia="ru-RU"/>
    </w:rPr>
  </w:style>
  <w:style w:type="paragraph" w:styleId="a6">
    <w:name w:val="List Paragraph"/>
    <w:basedOn w:val="a"/>
    <w:uiPriority w:val="34"/>
    <w:qFormat/>
    <w:rsid w:val="00C5480A"/>
    <w:pPr>
      <w:ind w:left="720"/>
      <w:contextualSpacing/>
    </w:pPr>
  </w:style>
  <w:style w:type="paragraph" w:customStyle="1" w:styleId="1">
    <w:name w:val="Обычный1"/>
    <w:rsid w:val="00C5480A"/>
    <w:pPr>
      <w:widowControl w:val="0"/>
      <w:spacing w:after="0" w:line="240" w:lineRule="auto"/>
    </w:pPr>
    <w:rPr>
      <w:rFonts w:ascii="Times New Roman" w:eastAsia="Times New Roman" w:hAnsi="Times New Roman" w:cs="Times New Roman"/>
      <w:sz w:val="20"/>
      <w:szCs w:val="20"/>
      <w:lang w:eastAsia="ru-RU"/>
    </w:rPr>
  </w:style>
  <w:style w:type="character" w:styleId="a7">
    <w:name w:val="footnote reference"/>
    <w:aliases w:val="Знак сноски-FN,Знак сноски 1,Ciae niinee-FN,Referencia nota al pie,Ссылка на сноску 45,Appel note de bas de page"/>
    <w:uiPriority w:val="99"/>
    <w:semiHidden/>
    <w:unhideWhenUsed/>
    <w:rsid w:val="00C5480A"/>
    <w:rPr>
      <w:vertAlign w:val="superscript"/>
    </w:rPr>
  </w:style>
  <w:style w:type="paragraph" w:styleId="a8">
    <w:name w:val="Balloon Text"/>
    <w:basedOn w:val="a"/>
    <w:link w:val="a9"/>
    <w:uiPriority w:val="99"/>
    <w:semiHidden/>
    <w:unhideWhenUsed/>
    <w:rsid w:val="00C5480A"/>
    <w:rPr>
      <w:rFonts w:ascii="Tahoma" w:hAnsi="Tahoma" w:cs="Tahoma"/>
      <w:sz w:val="16"/>
      <w:szCs w:val="16"/>
    </w:rPr>
  </w:style>
  <w:style w:type="character" w:customStyle="1" w:styleId="a9">
    <w:name w:val="Текст выноски Знак"/>
    <w:basedOn w:val="a0"/>
    <w:link w:val="a8"/>
    <w:uiPriority w:val="99"/>
    <w:semiHidden/>
    <w:rsid w:val="00C5480A"/>
    <w:rPr>
      <w:rFonts w:ascii="Tahoma" w:eastAsia="Times New Roman" w:hAnsi="Tahoma" w:cs="Tahoma"/>
      <w:sz w:val="16"/>
      <w:szCs w:val="16"/>
      <w:lang w:eastAsia="ru-RU"/>
    </w:rPr>
  </w:style>
  <w:style w:type="paragraph" w:styleId="aa">
    <w:name w:val="Normal (Web)"/>
    <w:basedOn w:val="a"/>
    <w:uiPriority w:val="99"/>
    <w:semiHidden/>
    <w:unhideWhenUsed/>
    <w:rsid w:val="000A146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34328">
      <w:bodyDiv w:val="1"/>
      <w:marLeft w:val="0"/>
      <w:marRight w:val="0"/>
      <w:marTop w:val="0"/>
      <w:marBottom w:val="0"/>
      <w:divBdr>
        <w:top w:val="none" w:sz="0" w:space="0" w:color="auto"/>
        <w:left w:val="none" w:sz="0" w:space="0" w:color="auto"/>
        <w:bottom w:val="none" w:sz="0" w:space="0" w:color="auto"/>
        <w:right w:val="none" w:sz="0" w:space="0" w:color="auto"/>
      </w:divBdr>
    </w:div>
    <w:div w:id="1544516945">
      <w:bodyDiv w:val="1"/>
      <w:marLeft w:val="0"/>
      <w:marRight w:val="0"/>
      <w:marTop w:val="0"/>
      <w:marBottom w:val="0"/>
      <w:divBdr>
        <w:top w:val="none" w:sz="0" w:space="0" w:color="auto"/>
        <w:left w:val="none" w:sz="0" w:space="0" w:color="auto"/>
        <w:bottom w:val="none" w:sz="0" w:space="0" w:color="auto"/>
        <w:right w:val="none" w:sz="0" w:space="0" w:color="auto"/>
      </w:divBdr>
    </w:div>
    <w:div w:id="1602029420">
      <w:bodyDiv w:val="1"/>
      <w:marLeft w:val="0"/>
      <w:marRight w:val="0"/>
      <w:marTop w:val="0"/>
      <w:marBottom w:val="0"/>
      <w:divBdr>
        <w:top w:val="none" w:sz="0" w:space="0" w:color="auto"/>
        <w:left w:val="none" w:sz="0" w:space="0" w:color="auto"/>
        <w:bottom w:val="none" w:sz="0" w:space="0" w:color="auto"/>
        <w:right w:val="none" w:sz="0" w:space="0" w:color="auto"/>
      </w:divBdr>
    </w:div>
    <w:div w:id="1897474290">
      <w:bodyDiv w:val="1"/>
      <w:marLeft w:val="0"/>
      <w:marRight w:val="0"/>
      <w:marTop w:val="0"/>
      <w:marBottom w:val="0"/>
      <w:divBdr>
        <w:top w:val="none" w:sz="0" w:space="0" w:color="auto"/>
        <w:left w:val="none" w:sz="0" w:space="0" w:color="auto"/>
        <w:bottom w:val="none" w:sz="0" w:space="0" w:color="auto"/>
        <w:right w:val="none" w:sz="0" w:space="0" w:color="auto"/>
      </w:divBdr>
    </w:div>
    <w:div w:id="2060277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926&amp;n=269845&amp;date=15.01.2024&amp;dst=100005&amp;field=134" TargetMode="External"/><Relationship Id="rId3" Type="http://schemas.openxmlformats.org/officeDocument/2006/relationships/webSettings" Target="webSettings.xml"/><Relationship Id="rId7" Type="http://schemas.openxmlformats.org/officeDocument/2006/relationships/hyperlink" Target="https://login.consultant.ru/link/?req=doc&amp;base=RLAW926&amp;n=253576&amp;date=15.01.2024&amp;dst=100005&amp;field=13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RLAW926&amp;n=236332&amp;date=15.01.2024&amp;dst=100005&amp;field=13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login.consultant.ru/link/?req=doc&amp;base=LAW&amp;n=2875&amp;date=29.11.2023" TargetMode="External"/><Relationship Id="rId4" Type="http://schemas.openxmlformats.org/officeDocument/2006/relationships/footnotes" Target="footnotes.xml"/><Relationship Id="rId9" Type="http://schemas.openxmlformats.org/officeDocument/2006/relationships/hyperlink" Target="https://login.consultant.ru/link/?req=doc&amp;base=RLAW926&amp;n=276538&amp;date=15.01.2024&amp;dst=100005&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2053</Words>
  <Characters>11704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Суханова Светлана Петровна</dc:creator>
  <cp:lastModifiedBy>Иванова Татьяна Анатольевна</cp:lastModifiedBy>
  <cp:revision>8</cp:revision>
  <dcterms:created xsi:type="dcterms:W3CDTF">2024-05-23T05:45:00Z</dcterms:created>
  <dcterms:modified xsi:type="dcterms:W3CDTF">2024-05-30T04:32:00Z</dcterms:modified>
</cp:coreProperties>
</file>